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29F19AFC" w14:textId="5BFB4CEE" w:rsidR="005B582E" w:rsidRDefault="009461D2" w:rsidP="009461D2">
      <w:pPr>
        <w:tabs>
          <w:tab w:val="left" w:pos="8505"/>
          <w:tab w:val="left" w:pos="13608"/>
        </w:tabs>
        <w:spacing w:line="360" w:lineRule="auto"/>
        <w:jc w:val="center"/>
        <w:rPr>
          <w:b/>
          <w:sz w:val="22"/>
          <w:szCs w:val="22"/>
        </w:rPr>
      </w:pPr>
      <w:r w:rsidRPr="00CC2A45">
        <w:rPr>
          <w:b/>
          <w:sz w:val="22"/>
          <w:szCs w:val="22"/>
        </w:rPr>
        <w:t>Pojemnik transferowy</w:t>
      </w:r>
      <w:r w:rsidR="00926D73">
        <w:rPr>
          <w:b/>
          <w:sz w:val="22"/>
          <w:szCs w:val="22"/>
        </w:rPr>
        <w:t xml:space="preserve"> 4 x</w:t>
      </w:r>
      <w:r w:rsidRPr="00CC2A45">
        <w:rPr>
          <w:b/>
          <w:sz w:val="22"/>
          <w:szCs w:val="22"/>
        </w:rPr>
        <w:t xml:space="preserve"> </w:t>
      </w:r>
      <w:r w:rsidR="002A6B5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0</w:t>
      </w:r>
      <w:r w:rsidRPr="00CC2A45">
        <w:rPr>
          <w:b/>
          <w:sz w:val="22"/>
          <w:szCs w:val="22"/>
        </w:rPr>
        <w:t xml:space="preserve"> ml</w:t>
      </w:r>
      <w:r>
        <w:rPr>
          <w:b/>
          <w:sz w:val="22"/>
        </w:rPr>
        <w:t xml:space="preserve"> – w </w:t>
      </w:r>
      <w:r w:rsidR="002A6B5E">
        <w:rPr>
          <w:b/>
          <w:sz w:val="22"/>
        </w:rPr>
        <w:t>ilości 10</w:t>
      </w:r>
      <w:r w:rsidR="00293ED6">
        <w:rPr>
          <w:b/>
          <w:sz w:val="22"/>
        </w:rPr>
        <w:t>0</w:t>
      </w:r>
      <w:r w:rsidRPr="005766EA">
        <w:rPr>
          <w:b/>
          <w:sz w:val="22"/>
        </w:rPr>
        <w:t xml:space="preserve"> </w:t>
      </w:r>
      <w:r>
        <w:rPr>
          <w:b/>
          <w:sz w:val="22"/>
        </w:rPr>
        <w:t>szt.</w:t>
      </w:r>
    </w:p>
    <w:p w14:paraId="4B18ECA8" w14:textId="4EF7E7EE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…………………………………………………….</w:t>
      </w:r>
    </w:p>
    <w:p w14:paraId="704C8906" w14:textId="47B77F68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……………………………………………………...……………………………………</w:t>
      </w:r>
    </w:p>
    <w:tbl>
      <w:tblPr>
        <w:tblStyle w:val="Tabela-Siatka"/>
        <w:tblW w:w="9437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354"/>
      </w:tblGrid>
      <w:tr w:rsidR="00EA7133" w:rsidRPr="00EA7133" w14:paraId="226A5B23" w14:textId="77777777" w:rsidTr="006E7082">
        <w:tc>
          <w:tcPr>
            <w:tcW w:w="704" w:type="dxa"/>
            <w:vAlign w:val="center"/>
          </w:tcPr>
          <w:p w14:paraId="115299B3" w14:textId="5D482E2B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14:paraId="28DF288B" w14:textId="10CFAA27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2354" w:type="dxa"/>
            <w:vAlign w:val="center"/>
          </w:tcPr>
          <w:p w14:paraId="14231F09" w14:textId="5BA1C39A" w:rsidR="00EA7133" w:rsidRPr="00EA7133" w:rsidRDefault="00A97B56" w:rsidP="00A97B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0672C0" w14:paraId="2E1522B8" w14:textId="77777777" w:rsidTr="006E7082">
        <w:tc>
          <w:tcPr>
            <w:tcW w:w="704" w:type="dxa"/>
            <w:vAlign w:val="center"/>
          </w:tcPr>
          <w:p w14:paraId="65371066" w14:textId="7C2B261C" w:rsidR="000672C0" w:rsidRPr="006E7082" w:rsidRDefault="000672C0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C7D0C39" w14:textId="712E4212" w:rsidR="000672C0" w:rsidRPr="00926D73" w:rsidRDefault="00926D73" w:rsidP="002A6B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0"/>
                <w:szCs w:val="20"/>
                <w:u w:val="single"/>
              </w:rPr>
            </w:pPr>
            <w:r w:rsidRPr="00926D73">
              <w:rPr>
                <w:color w:val="000000"/>
                <w:sz w:val="20"/>
                <w:szCs w:val="20"/>
              </w:rPr>
              <w:t>4 pojemniki puste o pojemności 150 ml+/-10 % każdy. Dreny poszczególnych pojemników połączone ze sobą wspólnym drenem końcowym</w:t>
            </w:r>
            <w:r w:rsidR="003416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344AA12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17C264B0" w14:textId="77777777" w:rsidTr="006E7082">
        <w:tc>
          <w:tcPr>
            <w:tcW w:w="704" w:type="dxa"/>
            <w:vAlign w:val="center"/>
          </w:tcPr>
          <w:p w14:paraId="7BE1C69B" w14:textId="1E62022D" w:rsidR="000672C0" w:rsidRPr="00D97637" w:rsidRDefault="000672C0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F8D1961" w14:textId="6776867B" w:rsidR="000672C0" w:rsidRPr="009461D2" w:rsidRDefault="00926D73" w:rsidP="009461D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Zastosowanie: d</w:t>
            </w:r>
            <w:r w:rsidRPr="00926D73">
              <w:rPr>
                <w:color w:val="000000"/>
                <w:sz w:val="20"/>
                <w:szCs w:val="20"/>
              </w:rPr>
              <w:t>o preparatyki krwi i jej składników, do podziału krwi pełnej konserwowanej, koncentratu krwinek czerwonych lub osocza świeżo mrożonego na porcje pediatryczne</w:t>
            </w:r>
            <w:r w:rsidR="009461D2" w:rsidRPr="009461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0313557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6C412F23" w14:textId="77777777" w:rsidTr="006E7082">
        <w:tc>
          <w:tcPr>
            <w:tcW w:w="704" w:type="dxa"/>
            <w:vAlign w:val="center"/>
          </w:tcPr>
          <w:p w14:paraId="5C81CDAC" w14:textId="30FA3185" w:rsidR="00C80123" w:rsidRPr="00D97637" w:rsidRDefault="00C80123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2241F97" w14:textId="76B71F09" w:rsidR="00926D73" w:rsidRPr="006E7082" w:rsidRDefault="00926D73" w:rsidP="00926D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B67">
              <w:rPr>
                <w:sz w:val="20"/>
                <w:szCs w:val="20"/>
              </w:rPr>
              <w:t>Dreny poszczególnych pojemników  o długości min</w:t>
            </w:r>
            <w:r w:rsidRPr="006E7082">
              <w:rPr>
                <w:sz w:val="20"/>
                <w:szCs w:val="20"/>
              </w:rPr>
              <w:t xml:space="preserve">. 30 cm, </w:t>
            </w:r>
          </w:p>
          <w:p w14:paraId="7ABC2E9A" w14:textId="51EFD5D2" w:rsidR="00C80123" w:rsidRPr="009461D2" w:rsidRDefault="00926D73" w:rsidP="00FE5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7082">
              <w:rPr>
                <w:sz w:val="20"/>
                <w:szCs w:val="20"/>
              </w:rPr>
              <w:t xml:space="preserve">Wspólny dren końcowy o długości min. 15 cm zakończony  </w:t>
            </w:r>
            <w:r w:rsidRPr="00FE5B67">
              <w:rPr>
                <w:sz w:val="20"/>
                <w:szCs w:val="20"/>
              </w:rPr>
              <w:t>plastikową  igłą typu  „SPIKE".</w:t>
            </w:r>
            <w:r w:rsidRPr="002A1BD3">
              <w:t xml:space="preserve"> </w:t>
            </w:r>
          </w:p>
        </w:tc>
        <w:tc>
          <w:tcPr>
            <w:tcW w:w="2354" w:type="dxa"/>
          </w:tcPr>
          <w:p w14:paraId="2054B219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926D73" w14:paraId="3EA7AE9E" w14:textId="77777777" w:rsidTr="006E7082">
        <w:tc>
          <w:tcPr>
            <w:tcW w:w="704" w:type="dxa"/>
            <w:vAlign w:val="center"/>
          </w:tcPr>
          <w:p w14:paraId="1AE06E11" w14:textId="77777777" w:rsidR="00926D73" w:rsidRDefault="00926D73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EEB4B28" w14:textId="16A99990" w:rsidR="00926D73" w:rsidRPr="00576584" w:rsidRDefault="00926D73" w:rsidP="00926D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584">
              <w:rPr>
                <w:sz w:val="20"/>
                <w:szCs w:val="20"/>
              </w:rPr>
              <w:t xml:space="preserve">Na wszystkich drenach </w:t>
            </w:r>
            <w:r w:rsidR="00576584" w:rsidRPr="00576584">
              <w:rPr>
                <w:sz w:val="20"/>
                <w:szCs w:val="20"/>
              </w:rPr>
              <w:t>muszą znajdować się zaciski plastikowe umożliwiające natychmiastowe zatrzymanie przepływu w drenie</w:t>
            </w:r>
            <w:r w:rsidR="0034163E">
              <w:rPr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13AF143A" w14:textId="77777777" w:rsidR="00926D73" w:rsidRDefault="00926D7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9461D2" w14:paraId="66F94084" w14:textId="77777777" w:rsidTr="006E7082">
        <w:tc>
          <w:tcPr>
            <w:tcW w:w="704" w:type="dxa"/>
            <w:vAlign w:val="center"/>
          </w:tcPr>
          <w:p w14:paraId="5CE0BB4C" w14:textId="094A8580" w:rsidR="009461D2" w:rsidRDefault="009461D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47E3B49" w14:textId="36F06FEA" w:rsidR="009461D2" w:rsidRPr="002A6B5E" w:rsidRDefault="002A6B5E" w:rsidP="00341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B5E">
              <w:rPr>
                <w:sz w:val="20"/>
                <w:szCs w:val="20"/>
              </w:rPr>
              <w:t xml:space="preserve">Pojemnik z tworzywa umożliwiającego przechowywanie koncentratów krwinek czerwonych w temperaturze 2-6°C </w:t>
            </w:r>
            <w:r>
              <w:rPr>
                <w:sz w:val="20"/>
                <w:szCs w:val="20"/>
              </w:rPr>
              <w:t>oraz</w:t>
            </w:r>
            <w:r w:rsidR="00FE5B67">
              <w:rPr>
                <w:sz w:val="20"/>
                <w:szCs w:val="20"/>
              </w:rPr>
              <w:t xml:space="preserve"> </w:t>
            </w:r>
            <w:r w:rsidR="0034163E">
              <w:rPr>
                <w:sz w:val="20"/>
                <w:szCs w:val="20"/>
              </w:rPr>
              <w:t>FFP</w:t>
            </w:r>
            <w:r>
              <w:rPr>
                <w:sz w:val="20"/>
                <w:szCs w:val="20"/>
              </w:rPr>
              <w:t xml:space="preserve"> &lt;</w:t>
            </w:r>
            <w:r w:rsidR="0057658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25</w:t>
            </w:r>
            <w:r w:rsidR="00576584" w:rsidRPr="002A6B5E">
              <w:rPr>
                <w:sz w:val="20"/>
                <w:szCs w:val="20"/>
              </w:rPr>
              <w:t>°C</w:t>
            </w:r>
          </w:p>
        </w:tc>
        <w:tc>
          <w:tcPr>
            <w:tcW w:w="2354" w:type="dxa"/>
          </w:tcPr>
          <w:p w14:paraId="69B52FD7" w14:textId="77777777" w:rsidR="009461D2" w:rsidRDefault="009461D2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3DB79FBD" w14:textId="77777777" w:rsidTr="006E7082">
        <w:tc>
          <w:tcPr>
            <w:tcW w:w="704" w:type="dxa"/>
            <w:vAlign w:val="center"/>
          </w:tcPr>
          <w:p w14:paraId="1BBA4B8D" w14:textId="0AF02C3C" w:rsidR="00C80123" w:rsidRPr="00D97637" w:rsidRDefault="00C80123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4F1212F" w14:textId="73F78FDD" w:rsidR="00C80123" w:rsidRPr="009461D2" w:rsidRDefault="00C80123" w:rsidP="006E7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1D2">
              <w:rPr>
                <w:color w:val="000000"/>
                <w:sz w:val="20"/>
                <w:szCs w:val="20"/>
              </w:rPr>
              <w:t>Wszystkie dreny muszą być elastycz</w:t>
            </w:r>
            <w:r w:rsidR="006E7082">
              <w:rPr>
                <w:color w:val="000000"/>
                <w:sz w:val="20"/>
                <w:szCs w:val="20"/>
              </w:rPr>
              <w:t>ne, umożliwiać łatwe rolowanie</w:t>
            </w:r>
          </w:p>
        </w:tc>
        <w:tc>
          <w:tcPr>
            <w:tcW w:w="2354" w:type="dxa"/>
          </w:tcPr>
          <w:p w14:paraId="4192F46C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15745B59" w14:textId="77777777" w:rsidTr="006E7082">
        <w:tc>
          <w:tcPr>
            <w:tcW w:w="704" w:type="dxa"/>
            <w:vAlign w:val="center"/>
          </w:tcPr>
          <w:p w14:paraId="5B4769F8" w14:textId="3ADDBE22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DB93405" w14:textId="4102414B" w:rsidR="006E7082" w:rsidRPr="009461D2" w:rsidRDefault="006E7082" w:rsidP="006E7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1D2">
              <w:rPr>
                <w:color w:val="000000"/>
                <w:sz w:val="20"/>
                <w:szCs w:val="20"/>
              </w:rPr>
              <w:t>Średnica drenów powinna mieć wymiary zapewniające wzajemną kompatybilność drenów różnych pojemników, aby umożliwić ich połączenia w układzie otwartym i zamkniętym</w:t>
            </w:r>
            <w:r w:rsidR="003416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250D975C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197A28FE" w14:textId="77777777" w:rsidTr="006E7082">
        <w:tc>
          <w:tcPr>
            <w:tcW w:w="704" w:type="dxa"/>
            <w:vAlign w:val="center"/>
          </w:tcPr>
          <w:p w14:paraId="2E6BEB08" w14:textId="47EB583C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D246BBE" w14:textId="24F7540E" w:rsidR="006E7082" w:rsidRPr="009461D2" w:rsidRDefault="006E7082" w:rsidP="006E70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A6B5E">
              <w:rPr>
                <w:sz w:val="20"/>
                <w:szCs w:val="20"/>
              </w:rPr>
              <w:t>Tworzywo, z którego wykonane są pojemniki musi być przejrzyste, umożliwiające wizualną ocenę pojemnika i składnika znajdującego się w pojemniku oraz powinno zapewniać możliwość zamrażania szokowego w temperaturze min. -</w:t>
            </w:r>
            <w:r>
              <w:rPr>
                <w:sz w:val="20"/>
                <w:szCs w:val="20"/>
              </w:rPr>
              <w:t>3</w:t>
            </w:r>
            <w:r w:rsidRPr="002A6B5E">
              <w:rPr>
                <w:sz w:val="20"/>
                <w:szCs w:val="20"/>
              </w:rPr>
              <w:t>0°C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7946500E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58BF88D2" w14:textId="77777777" w:rsidTr="006E7082">
        <w:tc>
          <w:tcPr>
            <w:tcW w:w="704" w:type="dxa"/>
            <w:vAlign w:val="center"/>
          </w:tcPr>
          <w:p w14:paraId="16EC5266" w14:textId="0F2338E0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321D213" w14:textId="55FED4A5" w:rsidR="006E7082" w:rsidRPr="009461D2" w:rsidRDefault="006E7082" w:rsidP="007447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1D2">
              <w:rPr>
                <w:color w:val="000000"/>
                <w:sz w:val="20"/>
                <w:szCs w:val="20"/>
              </w:rPr>
              <w:t xml:space="preserve">Pojemniki powinny zawierać co najmniej </w:t>
            </w:r>
            <w:r w:rsidR="007447AB" w:rsidRPr="00BA4B6B">
              <w:rPr>
                <w:sz w:val="20"/>
                <w:szCs w:val="20"/>
              </w:rPr>
              <w:t>1</w:t>
            </w:r>
            <w:r w:rsidRPr="00BA4B6B">
              <w:rPr>
                <w:sz w:val="20"/>
                <w:szCs w:val="20"/>
              </w:rPr>
              <w:t xml:space="preserve"> port</w:t>
            </w:r>
            <w:r w:rsidR="007447AB" w:rsidRPr="00BA4B6B">
              <w:rPr>
                <w:sz w:val="20"/>
                <w:szCs w:val="20"/>
              </w:rPr>
              <w:t xml:space="preserve"> </w:t>
            </w:r>
            <w:r w:rsidR="007447AB">
              <w:rPr>
                <w:color w:val="000000"/>
                <w:sz w:val="20"/>
                <w:szCs w:val="20"/>
              </w:rPr>
              <w:t>zabezpieczony</w:t>
            </w:r>
            <w:r w:rsidRPr="009461D2">
              <w:rPr>
                <w:color w:val="000000"/>
                <w:sz w:val="20"/>
                <w:szCs w:val="20"/>
              </w:rPr>
              <w:t xml:space="preserve"> błoną od wewnątrz oraz odpowiednią ochroną z zewnątrz zapewniającą jałowość, umożliwiające łatwy dostęp do podłączenia zestawu do przetoczenia</w:t>
            </w:r>
          </w:p>
        </w:tc>
        <w:tc>
          <w:tcPr>
            <w:tcW w:w="2354" w:type="dxa"/>
          </w:tcPr>
          <w:p w14:paraId="4384CD29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6F15B18F" w14:textId="77777777" w:rsidTr="006E7082">
        <w:tc>
          <w:tcPr>
            <w:tcW w:w="704" w:type="dxa"/>
            <w:vAlign w:val="center"/>
          </w:tcPr>
          <w:p w14:paraId="46F0B27C" w14:textId="554994C2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AFC22DB" w14:textId="68895328" w:rsidR="006E7082" w:rsidRPr="009461D2" w:rsidRDefault="006E7082" w:rsidP="006E7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1D2">
              <w:rPr>
                <w:color w:val="000000"/>
                <w:sz w:val="20"/>
                <w:szCs w:val="20"/>
              </w:rPr>
              <w:t>Centralnie na dolnej krawędzi pojemnika, powinno znajdować się podłużne nacięcie materiału pojemnika, umożliwiające zawieszanie pojemników na haczykach statywów transfuzyjnych</w:t>
            </w:r>
          </w:p>
        </w:tc>
        <w:tc>
          <w:tcPr>
            <w:tcW w:w="2354" w:type="dxa"/>
          </w:tcPr>
          <w:p w14:paraId="55D1DCEF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54A724D9" w14:textId="77777777" w:rsidTr="006E7082">
        <w:tc>
          <w:tcPr>
            <w:tcW w:w="704" w:type="dxa"/>
            <w:vAlign w:val="center"/>
          </w:tcPr>
          <w:p w14:paraId="2E49BB01" w14:textId="02DCB6D7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B1F566B" w14:textId="33B11A79" w:rsidR="006E7082" w:rsidRPr="009461D2" w:rsidRDefault="006E7082" w:rsidP="006E7082">
            <w:pPr>
              <w:rPr>
                <w:color w:val="000000"/>
                <w:sz w:val="20"/>
                <w:szCs w:val="20"/>
              </w:rPr>
            </w:pPr>
            <w:r w:rsidRPr="009461D2">
              <w:rPr>
                <w:color w:val="000000"/>
                <w:sz w:val="20"/>
                <w:szCs w:val="20"/>
              </w:rPr>
              <w:t xml:space="preserve">Pojedyncze </w:t>
            </w:r>
            <w:r w:rsidR="007447AB">
              <w:rPr>
                <w:color w:val="000000"/>
                <w:sz w:val="20"/>
                <w:szCs w:val="20"/>
              </w:rPr>
              <w:t xml:space="preserve">zestawy </w:t>
            </w:r>
            <w:r w:rsidRPr="009461D2">
              <w:rPr>
                <w:color w:val="000000"/>
                <w:sz w:val="20"/>
                <w:szCs w:val="20"/>
              </w:rPr>
              <w:t>pojemnik</w:t>
            </w:r>
            <w:r w:rsidR="007447AB">
              <w:rPr>
                <w:color w:val="000000"/>
                <w:sz w:val="20"/>
                <w:szCs w:val="20"/>
              </w:rPr>
              <w:t>ów</w:t>
            </w:r>
            <w:r w:rsidRPr="009461D2">
              <w:rPr>
                <w:color w:val="000000"/>
                <w:sz w:val="20"/>
                <w:szCs w:val="20"/>
              </w:rPr>
              <w:t xml:space="preserve"> muszą być zamknięte w indywidualnych  opakowaniach zabezpieczających. Opakowanie zabezpieczające ma zapewnić zachowanie jałowości i ap</w:t>
            </w:r>
            <w:r w:rsidR="007A0343">
              <w:rPr>
                <w:color w:val="000000"/>
                <w:sz w:val="20"/>
                <w:szCs w:val="20"/>
              </w:rPr>
              <w:t>i</w:t>
            </w:r>
            <w:r w:rsidRPr="009461D2">
              <w:rPr>
                <w:color w:val="000000"/>
                <w:sz w:val="20"/>
                <w:szCs w:val="20"/>
              </w:rPr>
              <w:t xml:space="preserve">rogenności </w:t>
            </w:r>
            <w:r>
              <w:rPr>
                <w:color w:val="000000"/>
                <w:sz w:val="20"/>
                <w:szCs w:val="20"/>
              </w:rPr>
              <w:t>pojemników</w:t>
            </w:r>
            <w:r w:rsidRPr="009461D2">
              <w:rPr>
                <w:color w:val="000000"/>
                <w:sz w:val="20"/>
                <w:szCs w:val="20"/>
              </w:rPr>
              <w:t>, oraz odpowiednią wilgotność w czasie przechowywania.</w:t>
            </w:r>
          </w:p>
          <w:p w14:paraId="5D97D92C" w14:textId="262974B0" w:rsidR="006E7082" w:rsidRPr="009461D2" w:rsidRDefault="006E7082" w:rsidP="007447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1D2">
              <w:rPr>
                <w:color w:val="000000"/>
                <w:sz w:val="20"/>
                <w:szCs w:val="20"/>
              </w:rPr>
              <w:t>Pojemniki w opakowaniach zabezpieczających muszą być zapakowane w odporne na uszkodzenia opakowania zbiorcze. Jedno o</w:t>
            </w:r>
            <w:r w:rsidRPr="009461D2">
              <w:rPr>
                <w:sz w:val="20"/>
                <w:szCs w:val="20"/>
              </w:rPr>
              <w:t>pakowanie zbiorcze może zawierać zestawy tylko jednej serii. Opakowanie zbiorcze musi być oznakowane etykietą zawierającą minimum następujące dane: nazwa producenta, nazwa pojemników, numer serii, data ważności, informacje o warunkach przechowywania – magazynowania pojemników.</w:t>
            </w:r>
          </w:p>
        </w:tc>
        <w:tc>
          <w:tcPr>
            <w:tcW w:w="2354" w:type="dxa"/>
          </w:tcPr>
          <w:p w14:paraId="25735596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447AB" w14:paraId="372A1DD5" w14:textId="77777777" w:rsidTr="006E7082">
        <w:tc>
          <w:tcPr>
            <w:tcW w:w="704" w:type="dxa"/>
            <w:vAlign w:val="center"/>
          </w:tcPr>
          <w:p w14:paraId="5174F793" w14:textId="77777777" w:rsidR="007447AB" w:rsidRPr="00D97637" w:rsidRDefault="007447AB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F4A9534" w14:textId="3D37F793" w:rsidR="007447AB" w:rsidRPr="009461D2" w:rsidRDefault="007447AB" w:rsidP="007447A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Każdy p</w:t>
            </w:r>
            <w:r w:rsidRPr="00AC0A15">
              <w:rPr>
                <w:sz w:val="20"/>
                <w:szCs w:val="20"/>
              </w:rPr>
              <w:t xml:space="preserve">ojemnik </w:t>
            </w:r>
            <w:r>
              <w:rPr>
                <w:sz w:val="20"/>
                <w:szCs w:val="20"/>
              </w:rPr>
              <w:t xml:space="preserve">w zestawie </w:t>
            </w:r>
            <w:r w:rsidRPr="00AC0A15">
              <w:rPr>
                <w:sz w:val="20"/>
                <w:szCs w:val="20"/>
              </w:rPr>
              <w:t>oznakowany kodem, serią i datą ważności</w:t>
            </w:r>
          </w:p>
        </w:tc>
        <w:tc>
          <w:tcPr>
            <w:tcW w:w="2354" w:type="dxa"/>
          </w:tcPr>
          <w:p w14:paraId="3B4A945A" w14:textId="77777777" w:rsidR="007447AB" w:rsidRDefault="007447AB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4EEFC844" w14:textId="77777777" w:rsidTr="006E7082">
        <w:tc>
          <w:tcPr>
            <w:tcW w:w="704" w:type="dxa"/>
            <w:vAlign w:val="center"/>
          </w:tcPr>
          <w:p w14:paraId="6617D334" w14:textId="685EF9D8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F120C97" w14:textId="77777777" w:rsidR="007447AB" w:rsidRDefault="006E7082" w:rsidP="007447AB">
            <w:pPr>
              <w:jc w:val="both"/>
              <w:rPr>
                <w:sz w:val="20"/>
                <w:szCs w:val="20"/>
              </w:rPr>
            </w:pPr>
            <w:r w:rsidRPr="009461D2">
              <w:rPr>
                <w:sz w:val="20"/>
                <w:szCs w:val="20"/>
              </w:rPr>
              <w:t>Oferowane pojemniki muszą być oznakowane znakiem CE zgodnie</w:t>
            </w:r>
          </w:p>
          <w:p w14:paraId="3B0E71B8" w14:textId="0279EF46" w:rsidR="006E7082" w:rsidRPr="009461D2" w:rsidRDefault="006E7082" w:rsidP="007447AB">
            <w:pPr>
              <w:jc w:val="both"/>
              <w:rPr>
                <w:sz w:val="20"/>
                <w:szCs w:val="20"/>
              </w:rPr>
            </w:pPr>
            <w:r w:rsidRPr="009461D2">
              <w:rPr>
                <w:sz w:val="20"/>
                <w:szCs w:val="20"/>
              </w:rPr>
              <w:t>z obowiązującymi w tym zakresie przepisami zawartymi w ustawie z dnia 20 maja 2010 r. o wyrobach medycznych.</w:t>
            </w:r>
          </w:p>
        </w:tc>
        <w:tc>
          <w:tcPr>
            <w:tcW w:w="2354" w:type="dxa"/>
          </w:tcPr>
          <w:p w14:paraId="342D750A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5051522A" w14:textId="77777777" w:rsidTr="006E7082">
        <w:tc>
          <w:tcPr>
            <w:tcW w:w="704" w:type="dxa"/>
            <w:vAlign w:val="center"/>
          </w:tcPr>
          <w:p w14:paraId="71BF6929" w14:textId="1EA3C5F7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73246B9" w14:textId="2490608C" w:rsidR="006E7082" w:rsidRPr="007447AB" w:rsidRDefault="006E7082" w:rsidP="006E708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0"/>
                <w:szCs w:val="20"/>
                <w:u w:val="single"/>
              </w:rPr>
            </w:pPr>
            <w:r w:rsidRPr="007447AB">
              <w:rPr>
                <w:sz w:val="20"/>
                <w:szCs w:val="20"/>
              </w:rPr>
              <w:t>Pojemniki muszą spełniać wymogi obecnie obowiązującej wersji monografii Farmakopea Europejska.</w:t>
            </w:r>
          </w:p>
        </w:tc>
        <w:tc>
          <w:tcPr>
            <w:tcW w:w="2354" w:type="dxa"/>
          </w:tcPr>
          <w:p w14:paraId="3ED018B9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6E7082" w14:paraId="4643EC17" w14:textId="77777777" w:rsidTr="006E7082">
        <w:tc>
          <w:tcPr>
            <w:tcW w:w="704" w:type="dxa"/>
            <w:vAlign w:val="center"/>
          </w:tcPr>
          <w:p w14:paraId="6F5AB700" w14:textId="0BEE4DD4" w:rsidR="006E7082" w:rsidRPr="00D97637" w:rsidRDefault="006E7082" w:rsidP="006E7082">
            <w:pPr>
              <w:pStyle w:val="Akapitzlist"/>
              <w:numPr>
                <w:ilvl w:val="0"/>
                <w:numId w:val="64"/>
              </w:numPr>
              <w:tabs>
                <w:tab w:val="left" w:pos="8505"/>
                <w:tab w:val="left" w:pos="13608"/>
              </w:tabs>
              <w:spacing w:line="276" w:lineRule="auto"/>
              <w:ind w:left="1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62B5D62" w14:textId="51D4954D" w:rsidR="006E7082" w:rsidRPr="007447AB" w:rsidRDefault="006E7082" w:rsidP="006E708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447AB">
              <w:rPr>
                <w:sz w:val="20"/>
                <w:szCs w:val="20"/>
              </w:rPr>
              <w:t>Termin ważności pojemników – min. 12 miesięcy od daty dostawy do Zamawiającego.</w:t>
            </w:r>
          </w:p>
        </w:tc>
        <w:tc>
          <w:tcPr>
            <w:tcW w:w="2354" w:type="dxa"/>
          </w:tcPr>
          <w:p w14:paraId="48AA3F1C" w14:textId="77777777" w:rsidR="006E7082" w:rsidRDefault="006E7082" w:rsidP="006E7082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651989F1" w14:textId="77777777" w:rsidR="00E72525" w:rsidRPr="005F43A3" w:rsidRDefault="00E72525" w:rsidP="005F43A3">
      <w:pPr>
        <w:rPr>
          <w:sz w:val="28"/>
          <w:szCs w:val="22"/>
        </w:rPr>
      </w:pPr>
    </w:p>
    <w:p w14:paraId="037E0EE5" w14:textId="7061AE23" w:rsidR="005F43A3" w:rsidRDefault="005F43A3" w:rsidP="005F43A3">
      <w:pPr>
        <w:rPr>
          <w:sz w:val="28"/>
          <w:szCs w:val="22"/>
        </w:rPr>
      </w:pPr>
    </w:p>
    <w:p w14:paraId="436ABC2C" w14:textId="77777777" w:rsidR="00E72525" w:rsidRDefault="005F43A3" w:rsidP="00E72525">
      <w:pPr>
        <w:ind w:left="397"/>
        <w:jc w:val="right"/>
        <w:rPr>
          <w:i/>
          <w:sz w:val="20"/>
          <w:szCs w:val="20"/>
        </w:rPr>
      </w:pPr>
      <w:r>
        <w:rPr>
          <w:sz w:val="28"/>
          <w:szCs w:val="22"/>
        </w:rPr>
        <w:tab/>
      </w:r>
      <w:r w:rsidR="00E72525">
        <w:rPr>
          <w:i/>
          <w:sz w:val="20"/>
          <w:szCs w:val="20"/>
        </w:rPr>
        <w:t>…….……………………………………………..………………….</w:t>
      </w:r>
    </w:p>
    <w:p w14:paraId="70C1B4AE" w14:textId="77777777" w:rsidR="00E72525" w:rsidRDefault="00E72525" w:rsidP="00E72525">
      <w:pPr>
        <w:ind w:left="397"/>
        <w:jc w:val="right"/>
      </w:pPr>
      <w:r>
        <w:rPr>
          <w:b/>
          <w:i/>
          <w:sz w:val="16"/>
        </w:rPr>
        <w:t>podpisy  i pieczęcie  osób  upoważnionych  do reprezentowania wykonawcy</w:t>
      </w:r>
    </w:p>
    <w:p w14:paraId="6E6272E4" w14:textId="51DE9089" w:rsidR="00EA7133" w:rsidRPr="005F43A3" w:rsidRDefault="00EA7133" w:rsidP="005F43A3">
      <w:pPr>
        <w:tabs>
          <w:tab w:val="left" w:pos="5760"/>
        </w:tabs>
        <w:rPr>
          <w:sz w:val="28"/>
          <w:szCs w:val="22"/>
        </w:rPr>
      </w:pPr>
    </w:p>
    <w:sectPr w:rsidR="00EA7133" w:rsidRPr="005F43A3" w:rsidSect="007447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5" w:right="1275" w:bottom="568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7626E" w14:textId="77777777" w:rsidR="004E5B58" w:rsidRDefault="004E5B58">
      <w:r>
        <w:separator/>
      </w:r>
    </w:p>
  </w:endnote>
  <w:endnote w:type="continuationSeparator" w:id="0">
    <w:p w14:paraId="68EFA17C" w14:textId="77777777" w:rsidR="004E5B58" w:rsidRDefault="004E5B58">
      <w:r>
        <w:continuationSeparator/>
      </w:r>
    </w:p>
  </w:endnote>
  <w:endnote w:type="continuationNotice" w:id="1">
    <w:p w14:paraId="0DF2E980" w14:textId="77777777" w:rsidR="004E5B58" w:rsidRDefault="004E5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19EF" w14:textId="77777777" w:rsidR="006B2FCF" w:rsidRDefault="006B2F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1D4E" w14:textId="77777777" w:rsidR="006B2FCF" w:rsidRDefault="006B2F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2F25" w14:textId="77777777" w:rsidR="006B2FCF" w:rsidRDefault="006B2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39B2" w14:textId="77777777" w:rsidR="004E5B58" w:rsidRDefault="004E5B58">
      <w:r>
        <w:separator/>
      </w:r>
    </w:p>
  </w:footnote>
  <w:footnote w:type="continuationSeparator" w:id="0">
    <w:p w14:paraId="7EDB61A2" w14:textId="77777777" w:rsidR="004E5B58" w:rsidRDefault="004E5B58">
      <w:r>
        <w:continuationSeparator/>
      </w:r>
    </w:p>
  </w:footnote>
  <w:footnote w:type="continuationNotice" w:id="1">
    <w:p w14:paraId="6DD237EB" w14:textId="77777777" w:rsidR="004E5B58" w:rsidRDefault="004E5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9A90" w14:textId="77777777" w:rsidR="006B2FCF" w:rsidRDefault="006B2F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004E0004" w:rsidR="00E6281F" w:rsidRPr="000768F5" w:rsidRDefault="00E6281F" w:rsidP="006B2FC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293ED6">
      <w:rPr>
        <w:sz w:val="20"/>
      </w:rPr>
      <w:t xml:space="preserve">r sprawy ZP </w:t>
    </w:r>
    <w:r w:rsidR="006B2FCF">
      <w:rPr>
        <w:sz w:val="20"/>
      </w:rPr>
      <w:t>6</w:t>
    </w:r>
    <w:bookmarkStart w:id="0" w:name="_GoBack"/>
    <w:bookmarkEnd w:id="0"/>
    <w:r w:rsidR="00293ED6">
      <w:rPr>
        <w:sz w:val="20"/>
      </w:rPr>
      <w:t>/2020</w:t>
    </w:r>
    <w:r w:rsidR="00EA7133">
      <w:rPr>
        <w:sz w:val="20"/>
      </w:rPr>
      <w:t xml:space="preserve"> – ZADANIE NR </w:t>
    </w:r>
    <w:r w:rsidR="002F5F9F">
      <w:rPr>
        <w:sz w:val="20"/>
      </w:rPr>
      <w:t>6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001F3D">
      <w:rPr>
        <w:sz w:val="20"/>
      </w:rPr>
      <w:t>1</w:t>
    </w:r>
    <w:r w:rsidR="002F5F9F">
      <w:rPr>
        <w:sz w:val="20"/>
      </w:rPr>
      <w:t>F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C29A" w14:textId="77777777" w:rsidR="006B2FCF" w:rsidRDefault="006B2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EE4D6C"/>
    <w:multiLevelType w:val="hybridMultilevel"/>
    <w:tmpl w:val="181C7166"/>
    <w:lvl w:ilvl="0" w:tplc="F6FA6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5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4760CC2"/>
    <w:multiLevelType w:val="hybridMultilevel"/>
    <w:tmpl w:val="9A400976"/>
    <w:lvl w:ilvl="0" w:tplc="923EE5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E4C6453"/>
    <w:multiLevelType w:val="hybridMultilevel"/>
    <w:tmpl w:val="0C3E0DE0"/>
    <w:lvl w:ilvl="0" w:tplc="3EA8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32CD24E6"/>
    <w:multiLevelType w:val="hybridMultilevel"/>
    <w:tmpl w:val="0E227C1C"/>
    <w:lvl w:ilvl="0" w:tplc="F6FA6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D7543F3"/>
    <w:multiLevelType w:val="multilevel"/>
    <w:tmpl w:val="8DEAAB60"/>
    <w:numStyleLink w:val="NBPpunktorynumeryczne"/>
  </w:abstractNum>
  <w:abstractNum w:abstractNumId="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1D22EB"/>
    <w:multiLevelType w:val="multilevel"/>
    <w:tmpl w:val="C9DEEC2C"/>
    <w:numStyleLink w:val="NBPpunktoryobrazkowe"/>
  </w:abstractNum>
  <w:abstractNum w:abstractNumId="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0"/>
  </w:num>
  <w:num w:numId="2">
    <w:abstractNumId w:val="43"/>
  </w:num>
  <w:num w:numId="3">
    <w:abstractNumId w:val="38"/>
  </w:num>
  <w:num w:numId="4">
    <w:abstractNumId w:val="23"/>
  </w:num>
  <w:num w:numId="5">
    <w:abstractNumId w:val="13"/>
  </w:num>
  <w:num w:numId="6">
    <w:abstractNumId w:val="65"/>
  </w:num>
  <w:num w:numId="7">
    <w:abstractNumId w:val="58"/>
  </w:num>
  <w:num w:numId="8">
    <w:abstractNumId w:val="46"/>
  </w:num>
  <w:num w:numId="9">
    <w:abstractNumId w:val="15"/>
  </w:num>
  <w:num w:numId="10">
    <w:abstractNumId w:val="11"/>
  </w:num>
  <w:num w:numId="11">
    <w:abstractNumId w:val="70"/>
  </w:num>
  <w:num w:numId="12">
    <w:abstractNumId w:val="36"/>
  </w:num>
  <w:num w:numId="13">
    <w:abstractNumId w:val="69"/>
  </w:num>
  <w:num w:numId="14">
    <w:abstractNumId w:val="12"/>
  </w:num>
  <w:num w:numId="15">
    <w:abstractNumId w:val="2"/>
  </w:num>
  <w:num w:numId="16">
    <w:abstractNumId w:val="1"/>
  </w:num>
  <w:num w:numId="17">
    <w:abstractNumId w:val="63"/>
  </w:num>
  <w:num w:numId="18">
    <w:abstractNumId w:val="19"/>
  </w:num>
  <w:num w:numId="19">
    <w:abstractNumId w:val="32"/>
  </w:num>
  <w:num w:numId="20">
    <w:abstractNumId w:val="66"/>
  </w:num>
  <w:num w:numId="21">
    <w:abstractNumId w:val="30"/>
  </w:num>
  <w:num w:numId="22">
    <w:abstractNumId w:val="5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42"/>
  </w:num>
  <w:num w:numId="26">
    <w:abstractNumId w:val="54"/>
  </w:num>
  <w:num w:numId="27">
    <w:abstractNumId w:val="41"/>
  </w:num>
  <w:num w:numId="28">
    <w:abstractNumId w:val="24"/>
  </w:num>
  <w:num w:numId="29">
    <w:abstractNumId w:val="37"/>
  </w:num>
  <w:num w:numId="30">
    <w:abstractNumId w:val="6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28"/>
  </w:num>
  <w:num w:numId="35">
    <w:abstractNumId w:val="18"/>
  </w:num>
  <w:num w:numId="36">
    <w:abstractNumId w:val="44"/>
  </w:num>
  <w:num w:numId="37">
    <w:abstractNumId w:val="21"/>
  </w:num>
  <w:num w:numId="38">
    <w:abstractNumId w:val="8"/>
  </w:num>
  <w:num w:numId="39">
    <w:abstractNumId w:val="48"/>
  </w:num>
  <w:num w:numId="40">
    <w:abstractNumId w:val="59"/>
  </w:num>
  <w:num w:numId="41">
    <w:abstractNumId w:val="71"/>
  </w:num>
  <w:num w:numId="42">
    <w:abstractNumId w:val="40"/>
  </w:num>
  <w:num w:numId="43">
    <w:abstractNumId w:val="50"/>
  </w:num>
  <w:num w:numId="44">
    <w:abstractNumId w:val="67"/>
  </w:num>
  <w:num w:numId="45">
    <w:abstractNumId w:val="16"/>
  </w:num>
  <w:num w:numId="46">
    <w:abstractNumId w:val="33"/>
  </w:num>
  <w:num w:numId="47">
    <w:abstractNumId w:val="55"/>
  </w:num>
  <w:num w:numId="48">
    <w:abstractNumId w:val="62"/>
  </w:num>
  <w:num w:numId="49">
    <w:abstractNumId w:val="39"/>
  </w:num>
  <w:num w:numId="50">
    <w:abstractNumId w:val="31"/>
  </w:num>
  <w:num w:numId="51">
    <w:abstractNumId w:val="51"/>
  </w:num>
  <w:num w:numId="52">
    <w:abstractNumId w:val="45"/>
  </w:num>
  <w:num w:numId="53">
    <w:abstractNumId w:val="20"/>
  </w:num>
  <w:num w:numId="54">
    <w:abstractNumId w:val="61"/>
  </w:num>
  <w:num w:numId="55">
    <w:abstractNumId w:val="9"/>
  </w:num>
  <w:num w:numId="56">
    <w:abstractNumId w:val="10"/>
  </w:num>
  <w:num w:numId="57">
    <w:abstractNumId w:val="52"/>
  </w:num>
  <w:num w:numId="58">
    <w:abstractNumId w:val="47"/>
  </w:num>
  <w:num w:numId="59">
    <w:abstractNumId w:val="35"/>
  </w:num>
  <w:num w:numId="60">
    <w:abstractNumId w:val="57"/>
  </w:num>
  <w:num w:numId="61">
    <w:abstractNumId w:val="26"/>
  </w:num>
  <w:num w:numId="62">
    <w:abstractNumId w:val="29"/>
  </w:num>
  <w:num w:numId="63">
    <w:abstractNumId w:val="0"/>
  </w:num>
  <w:num w:numId="64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F3D"/>
    <w:rsid w:val="00002744"/>
    <w:rsid w:val="0000364C"/>
    <w:rsid w:val="0000378D"/>
    <w:rsid w:val="00003FA4"/>
    <w:rsid w:val="00004DF4"/>
    <w:rsid w:val="00004F1D"/>
    <w:rsid w:val="00005697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2F4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3ED6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B5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5F9F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63E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B58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584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232"/>
    <w:rsid w:val="005B206A"/>
    <w:rsid w:val="005B32D6"/>
    <w:rsid w:val="005B3A27"/>
    <w:rsid w:val="005B41C8"/>
    <w:rsid w:val="005B4694"/>
    <w:rsid w:val="005B4B44"/>
    <w:rsid w:val="005B4DAA"/>
    <w:rsid w:val="005B56DF"/>
    <w:rsid w:val="005B582E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2C28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2FCF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18F"/>
    <w:rsid w:val="006E54A7"/>
    <w:rsid w:val="006E63D3"/>
    <w:rsid w:val="006E6A95"/>
    <w:rsid w:val="006E6EDD"/>
    <w:rsid w:val="006E7082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AB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4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079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6D73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1D2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B6B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12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4A39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637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299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483F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986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5B67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FC37AA-5C0E-4721-9913-9555CEA9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3051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11</cp:revision>
  <cp:lastPrinted>2018-01-30T11:02:00Z</cp:lastPrinted>
  <dcterms:created xsi:type="dcterms:W3CDTF">2018-01-26T11:17:00Z</dcterms:created>
  <dcterms:modified xsi:type="dcterms:W3CDTF">2020-12-29T12:29:00Z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